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745" w:rsidRDefault="00CC131B" w:rsidP="0023252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КАЧУЛЬСКОГО </w:t>
      </w:r>
      <w:r w:rsidR="004B6286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4B6286" w:rsidRDefault="004B6286" w:rsidP="0023252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КАРАТУЗСКОГО РАЙОНА КРАСНОЯРСКОГО КРАЯ</w:t>
      </w:r>
    </w:p>
    <w:p w:rsidR="00DF6745" w:rsidRDefault="00DF6745" w:rsidP="0023252F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DF6745" w:rsidRDefault="004B6286" w:rsidP="0023252F">
      <w:pPr>
        <w:tabs>
          <w:tab w:val="left" w:pos="358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ПОСТАНОВЛЕНИЕ</w:t>
      </w:r>
    </w:p>
    <w:p w:rsidR="004B6286" w:rsidRDefault="004B6286" w:rsidP="0023252F">
      <w:pPr>
        <w:tabs>
          <w:tab w:val="left" w:pos="358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B6286" w:rsidRDefault="00A60EEF" w:rsidP="0023252F">
      <w:pPr>
        <w:tabs>
          <w:tab w:val="left" w:pos="3583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26.06</w:t>
      </w:r>
      <w:r w:rsidR="004B6286">
        <w:rPr>
          <w:rFonts w:ascii="Times New Roman" w:hAnsi="Times New Roman" w:cs="Times New Roman"/>
          <w:sz w:val="26"/>
          <w:szCs w:val="26"/>
        </w:rPr>
        <w:t xml:space="preserve">.2023              </w:t>
      </w:r>
      <w:r w:rsidR="00CC131B">
        <w:rPr>
          <w:rFonts w:ascii="Times New Roman" w:hAnsi="Times New Roman" w:cs="Times New Roman"/>
          <w:sz w:val="26"/>
          <w:szCs w:val="26"/>
        </w:rPr>
        <w:t xml:space="preserve">                       с.Качулька</w:t>
      </w:r>
      <w:r w:rsidR="004B6286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№ 25-П</w:t>
      </w:r>
    </w:p>
    <w:p w:rsidR="004B6286" w:rsidRDefault="004B6286" w:rsidP="0023252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D18B2" w:rsidRPr="00CC131B" w:rsidRDefault="00CC131B" w:rsidP="0023252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Правил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реструктуризации денежных обязательств (задолженности по денежным обязательствам) перед муниципальным образованием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Качульский</w:t>
      </w:r>
      <w:r w:rsidRPr="003149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</w:t>
      </w:r>
    </w:p>
    <w:p w:rsidR="00DD18B2" w:rsidRPr="00DD18B2" w:rsidRDefault="00DD18B2" w:rsidP="0023252F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A3500" w:rsidRDefault="0023252F" w:rsidP="0023252F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 w:rsidR="00336B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A35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DD18B2" w:rsidRPr="00DD18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пунктом 3 статьи 93.8 Бюджетного кодекса Российской Федерации, </w:t>
      </w:r>
      <w:r w:rsidR="00336B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D18B2" w:rsidRPr="00DD18B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 Устав</w:t>
      </w:r>
      <w:r w:rsidR="00314984"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CA350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D18B2" w:rsidRPr="00DD18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C131B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>Качульского</w:t>
      </w:r>
      <w:r w:rsidR="00314984" w:rsidRPr="00314984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сельсовета Каратузского</w:t>
      </w:r>
    </w:p>
    <w:p w:rsidR="00DD18B2" w:rsidRPr="00314984" w:rsidRDefault="00314984" w:rsidP="0023252F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314984"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  <w:t xml:space="preserve"> района Красноярского края </w:t>
      </w:r>
    </w:p>
    <w:p w:rsidR="00DD18B2" w:rsidRPr="00DD18B2" w:rsidRDefault="00DD18B2" w:rsidP="0023252F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18B2" w:rsidRPr="00DD18B2" w:rsidRDefault="00DD18B2" w:rsidP="00A60EEF">
      <w:pPr>
        <w:widowControl w:val="0"/>
        <w:suppressAutoHyphens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ПОСТАНОВЛЯЮ:</w:t>
      </w:r>
    </w:p>
    <w:p w:rsidR="00A60EEF" w:rsidRDefault="00336B4F" w:rsidP="0023252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sub_2"/>
      <w:r w:rsidR="007027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bookmarkEnd w:id="0"/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реструктуризации денежных обязательств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(задолженности по денежным обязательствам) перед муниципальным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образованием </w:t>
      </w:r>
      <w:r w:rsidR="00CC1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Качульский</w:t>
      </w:r>
      <w:r w:rsidR="00314984" w:rsidRPr="003149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</w:t>
      </w:r>
      <w:r w:rsidR="00DD18B2" w:rsidRPr="00DD1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 w:rsidR="00DD18B2" w:rsidRPr="00DD1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приложению к настоящему </w:t>
      </w:r>
    </w:p>
    <w:p w:rsidR="00DD18B2" w:rsidRPr="00DD18B2" w:rsidRDefault="00DD18B2" w:rsidP="0023252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постановлению.</w:t>
      </w:r>
    </w:p>
    <w:p w:rsidR="00314984" w:rsidRPr="00DD18B2" w:rsidRDefault="00702723" w:rsidP="0023252F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14984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возлагается на </w:t>
      </w:r>
      <w:r w:rsidR="003149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бухг</w:t>
      </w:r>
      <w:r w:rsidR="00CC131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алтера администрации Качульского</w:t>
      </w:r>
      <w:r w:rsidR="0031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314984" w:rsidRPr="00DD18B2" w:rsidRDefault="00702723" w:rsidP="0023252F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314984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</w:t>
      </w:r>
      <w:r w:rsidR="00CC1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ановление вступает в силу в день, следующий за днем </w:t>
      </w:r>
      <w:r w:rsidR="00314984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33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36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984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опубликования в газете </w:t>
      </w:r>
      <w:r w:rsidR="00CC131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«Качульский</w:t>
      </w:r>
      <w:r w:rsidR="003149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вестник».</w:t>
      </w:r>
    </w:p>
    <w:p w:rsidR="00DD18B2" w:rsidRPr="00DD18B2" w:rsidRDefault="00DD18B2" w:rsidP="0023252F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18B2" w:rsidRPr="00DD18B2" w:rsidRDefault="00DD18B2" w:rsidP="0023252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18B2" w:rsidRPr="00314984" w:rsidRDefault="00DD18B2" w:rsidP="0023252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3149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Глава </w:t>
      </w:r>
      <w:r w:rsidR="00CC1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Качульского</w:t>
      </w:r>
      <w:r w:rsidR="00314984" w:rsidRPr="003149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                         </w:t>
      </w:r>
      <w:r w:rsidR="003149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</w:t>
      </w:r>
      <w:r w:rsidR="00CC13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В.А.Деев</w:t>
      </w:r>
    </w:p>
    <w:p w:rsidR="00DD18B2" w:rsidRPr="00DD18B2" w:rsidRDefault="00DD18B2" w:rsidP="0023252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D18B2" w:rsidRPr="00DD18B2" w:rsidRDefault="00DD18B2" w:rsidP="0023252F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8B2" w:rsidRPr="00DD18B2" w:rsidRDefault="00DD18B2" w:rsidP="0023252F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8B2" w:rsidRPr="00DD18B2" w:rsidRDefault="00DD18B2" w:rsidP="0023252F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8B2" w:rsidRPr="00DD18B2" w:rsidRDefault="00DD18B2" w:rsidP="0023252F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8B2" w:rsidRDefault="00DD18B2" w:rsidP="0023252F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984" w:rsidRDefault="00314984" w:rsidP="0023252F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984" w:rsidRDefault="00314984" w:rsidP="0023252F">
      <w:pPr>
        <w:suppressAutoHyphens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8B2" w:rsidRDefault="00DD18B2" w:rsidP="00D20C3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EEF" w:rsidRDefault="00A60EEF" w:rsidP="00D20C3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p w:rsidR="00D20C38" w:rsidRPr="00DD18B2" w:rsidRDefault="00D20C38" w:rsidP="00D20C38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18B2" w:rsidRPr="00DD18B2" w:rsidRDefault="00DD18B2" w:rsidP="0023252F">
      <w:pPr>
        <w:suppressAutoHyphens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D18B2" w:rsidRPr="00DD18B2" w:rsidRDefault="00DD18B2" w:rsidP="0023252F">
      <w:pPr>
        <w:suppressAutoHyphens w:val="0"/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D18B2" w:rsidRPr="00314984" w:rsidRDefault="000D1BBA" w:rsidP="0023252F">
      <w:pPr>
        <w:suppressAutoHyphens w:val="0"/>
        <w:spacing w:after="0" w:line="240" w:lineRule="exact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Качульского </w:t>
      </w:r>
      <w:r w:rsidR="00314984" w:rsidRPr="0031498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</w:p>
    <w:p w:rsidR="00DD18B2" w:rsidRPr="00314984" w:rsidRDefault="00A60EEF" w:rsidP="0023252F">
      <w:pPr>
        <w:suppressAutoHyphens w:val="0"/>
        <w:spacing w:after="0" w:line="240" w:lineRule="exact"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26.06.2023 № 25-П</w:t>
      </w:r>
    </w:p>
    <w:p w:rsidR="00DD18B2" w:rsidRPr="00DD18B2" w:rsidRDefault="00DD18B2" w:rsidP="0023252F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8B2" w:rsidRPr="00314984" w:rsidRDefault="00DD18B2" w:rsidP="00D20C3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реструктуризации денежных обязательств (задолженности по</w:t>
      </w:r>
      <w:r w:rsidR="00D20C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DD1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денежным обязательствам) перед </w:t>
      </w:r>
      <w:r w:rsidR="00314984" w:rsidRPr="003149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муниц</w:t>
      </w:r>
      <w:r w:rsidR="000D1B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ипальным образованием</w:t>
      </w:r>
      <w:r w:rsidR="00D20C3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</w:t>
      </w:r>
      <w:r w:rsidR="000D1BB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Качульский</w:t>
      </w:r>
      <w:r w:rsidR="00314984" w:rsidRPr="003149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сельсовет</w:t>
      </w:r>
      <w:r w:rsidRPr="00314984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DD18B2" w:rsidRPr="00DD18B2" w:rsidRDefault="00DD18B2" w:rsidP="0023252F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DD1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Основные положения.</w:t>
      </w:r>
    </w:p>
    <w:p w:rsidR="000D1BBA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bookmarkStart w:id="2" w:name="sub_100"/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DD1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Настоящие Правила  реструктуризации денежных обязательств</w:t>
      </w:r>
    </w:p>
    <w:p w:rsidR="00DD18B2" w:rsidRPr="00DD18B2" w:rsidRDefault="00DD18B2" w:rsidP="0023252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(задолженности по денежным обязательствам) перед муниципальным </w:t>
      </w:r>
      <w:r w:rsidR="00CA3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</w:t>
      </w:r>
      <w:r w:rsidRPr="00DD1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образованием </w:t>
      </w:r>
      <w:r w:rsidR="000D1B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Качульский</w:t>
      </w:r>
      <w:r w:rsidR="00326C83" w:rsidRPr="00326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сельсовет</w:t>
      </w:r>
      <w:r w:rsidRPr="00DD1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Правила)</w:t>
      </w:r>
      <w:r w:rsidRPr="00DD18B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Pr="00DD1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разработаны в </w:t>
      </w:r>
      <w:r w:rsidR="00CA3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</w:t>
      </w:r>
      <w:r w:rsidRPr="00DD1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с  пунктом 3 статьи 93.8 Бюджетного кодекса Российской Федерации в </w:t>
      </w:r>
      <w:r w:rsidR="00CA3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DD1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целях </w:t>
      </w:r>
      <w:r w:rsidR="00CA3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Pr="00DD1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определения оснований, условий и порядка реструктуризации денежных</w:t>
      </w:r>
      <w:r w:rsidR="00CA3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D1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обязательств (задолженности по денежным обязательствам) перед  </w:t>
      </w:r>
      <w:r w:rsidR="00CA35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0D1BB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Качульским</w:t>
      </w:r>
      <w:r w:rsidR="00326C83" w:rsidRPr="00326C8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сельсоветом</w:t>
      </w:r>
      <w:r w:rsidRPr="00DD1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реструктуризация задолженности).</w:t>
      </w:r>
    </w:p>
    <w:bookmarkEnd w:id="2"/>
    <w:p w:rsidR="00DD18B2" w:rsidRPr="00DD18B2" w:rsidRDefault="00DD18B2" w:rsidP="0023252F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Понятия и термины используемые в настоящих Правилах, применяются в значениях, определенных Бюджетным кодексом Российской Федерации.</w:t>
      </w:r>
    </w:p>
    <w:p w:rsidR="00DD18B2" w:rsidRPr="00DD18B2" w:rsidRDefault="00DD18B2" w:rsidP="0023252F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Возможность, способы и основные условия урегулирования денежных обязательств (задолженности по денежным обязательствам) перед </w:t>
      </w:r>
      <w:r w:rsidR="000D1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Качульским</w:t>
      </w:r>
      <w:r w:rsidR="00326C83" w:rsidRPr="0032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сельсоветом</w:t>
      </w:r>
      <w:r w:rsidRPr="00DD1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устанавливаются решением </w:t>
      </w:r>
      <w:r w:rsidR="000D1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Качульского</w:t>
      </w:r>
      <w:r w:rsidR="00326C83" w:rsidRPr="0032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сельского Совета депутатов</w:t>
      </w:r>
      <w:r w:rsidRPr="00DD1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бюджете </w:t>
      </w:r>
      <w:r w:rsidR="000D1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Качульского</w:t>
      </w:r>
      <w:r w:rsidR="00326C83" w:rsidRPr="0032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очередной финансовый год и плановый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(далее – решение о бюджете).</w:t>
      </w:r>
    </w:p>
    <w:p w:rsidR="00DD18B2" w:rsidRPr="00DD18B2" w:rsidRDefault="00DD18B2" w:rsidP="0023252F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 Реструктуризация задолженности  предусматривает изменение условий исполнения денежного обязательства (погашение задолженности по  нему),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связанное с изменением сроков (в том числе с предоставлением отсрочки или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 иных платежей.</w:t>
      </w:r>
    </w:p>
    <w:p w:rsidR="00DD18B2" w:rsidRPr="00DD18B2" w:rsidRDefault="00DD18B2" w:rsidP="0023252F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Реструктуризации задолженности не подлежат денежные обязательства (задолженности по ним)  перед </w:t>
      </w:r>
      <w:r w:rsidR="000D1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Качульским</w:t>
      </w:r>
      <w:r w:rsidR="00326C83" w:rsidRPr="0032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сельсоветом</w:t>
      </w:r>
      <w:r w:rsidRPr="00DD1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установленные к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взысканию на основании решения суда.</w:t>
      </w:r>
    </w:p>
    <w:p w:rsidR="00DD18B2" w:rsidRPr="00DD18B2" w:rsidRDefault="00DD18B2" w:rsidP="0023252F">
      <w:pPr>
        <w:tabs>
          <w:tab w:val="left" w:pos="709"/>
        </w:tabs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8B2" w:rsidRPr="00DD18B2" w:rsidRDefault="00DD18B2" w:rsidP="0023252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DD1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Основания и условия реструктуризации задолженности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B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DD18B2" w:rsidRPr="00DD18B2" w:rsidRDefault="00DD18B2" w:rsidP="0023252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Реструктуризация задолженности проводится:</w:t>
      </w:r>
    </w:p>
    <w:p w:rsidR="00DD18B2" w:rsidRPr="00DD18B2" w:rsidRDefault="00DD18B2" w:rsidP="0023252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2.1.1.  по обязательствам юридических лиц, возникшим в связи с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предоставлением им из бюджета </w:t>
      </w:r>
      <w:r w:rsidR="000D1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Качульского</w:t>
      </w:r>
      <w:r w:rsidR="00326C83" w:rsidRPr="00326C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  <w:r w:rsidRPr="00DD1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средств на возвратной и возмездной основе;</w:t>
      </w:r>
    </w:p>
    <w:p w:rsidR="00DD18B2" w:rsidRPr="00DD18B2" w:rsidRDefault="00DD18B2" w:rsidP="0023252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в связи с предоставлением и (или) исполнением муниципальной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гарантии.</w:t>
      </w:r>
    </w:p>
    <w:p w:rsidR="00DD18B2" w:rsidRPr="00DD18B2" w:rsidRDefault="00DD18B2" w:rsidP="0023252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Основанием реструктуризации задолженности является заявление лиц, указанных в пунктах 3.1, 4.1 настоящих Правил, которые не должны находится в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них не введена процедура банкротства, их деятельность не приостановлена в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порядке, предусмотренном законодательством Российской Федерации, а также при условии установления решением о бюджете возможности реструктуризации задолженности. 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Реструктуризация задолженности осуществляется на условиях,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настоящими Правилами.</w:t>
      </w:r>
    </w:p>
    <w:p w:rsidR="00DD18B2" w:rsidRPr="00DD18B2" w:rsidRDefault="00DD18B2" w:rsidP="0023252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18B2" w:rsidRPr="00DD18B2" w:rsidRDefault="00DD18B2" w:rsidP="0023252F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DD18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реструктуризации задолженности по бюджетным кредитам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8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D18B2" w:rsidRPr="0033250C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3" w:name="Par8"/>
      <w:bookmarkEnd w:id="3"/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Для проведения реструктуризации задолженности по бюджетным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кредитам юридическое лицо представляет в администрацию </w:t>
      </w:r>
      <w:r w:rsidR="000D1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Качульского</w:t>
      </w:r>
      <w:r w:rsidR="00326C83" w:rsidRPr="003325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20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</w:t>
      </w:r>
      <w:r w:rsidR="00326C83" w:rsidRPr="003325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сельсовета</w:t>
      </w:r>
      <w:r w:rsidRPr="003325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 заявление, в котором должны быть указаны: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3.1.1.1. обстоятельства, наличие которых препятствует погашению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обязательства (задолженности) по бюджетному кредиту в сроки, установленные договором о предоставлении бюджетного кредита и (или) в размере величины процентов за пользование денежными средствами и (или) иных платежей;</w:t>
      </w:r>
    </w:p>
    <w:p w:rsidR="00DD18B2" w:rsidRPr="00DD18B2" w:rsidRDefault="00CA3500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3.1.1.2. 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задолженности, который предполагается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р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еструктуризировать, величина процентов за пользование денежными средствами и (или) иных платежей (под которые необходимо провести реструктуризацию);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3.1.1.3. способ проведения реструктуризации: изменение сроков (в том числе с предоставлением отсрочки или рассрочки), изменение величины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 за пользование денежными средствами и (или) иных платежей;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3.1.1.4.  информация об источниках и сроках (графике) погашения 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реструктурируемой задолженности по денежным обязательствам.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копию документа, подтверждающего полномочия лица,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от имени должника (в случае обращения представителя);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 копии учредительных документов со всеми изменениями и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дополнениями, удостоверенные нотариально или руководителем должника; 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годовую бухгалтерскую (финансовую) отчетность по формам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бухгалтерского баланса и отчета о финансовых результатах, утвержденных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предложением № 1 к приказу Министерства финансов Российской Федерации от 02.07.2010 № 66н «О формах бухгалтерской отчетности организаций» (далее – приказ  Минфина России), за последний отчетный год с отметкой о принятии  налоговым органом по месту постановки на налоговый учет должника, а также информацию о кредиторской задолженности, оформленную с учетом положений раздела 5 приложения № 3 к  приказу Минфина России;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3.1.5. промежуточную бухгалтерскую (финансовую) отчетность по формам бухгалтерского баланса и отчета о финансовых результатах, утвержденных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предложением № 1 к приказу Минфина России, за последний отчетный период, а также информацию о дебиторской и кредиторской задолженности, оформленную с учетом положений раздела 5 приложения № 3 к приказу Минфина России;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3.1.6. расшифровку дебиторской и кредиторской задолженности к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бухгалтерским балансам за отчетный финансовый год, предшествующий году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обращения, и на последнюю отчетную дату с указанием даты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задолженности и ее статуса (текущая, просроченная);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документ, подтверждающий, что юридическое лицо не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предусмотренном законодательством Российской Федерации;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3.1.8. справки кредитных организаций об оборотах по расчетным счетам за последние 12 месяцев, остатках денежных средств на них на дату,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предшествующую дате подачи документов, наличии или отсутствии на каждом счете на дату предоставления справки картотеки неоплаченных расчетных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3.1.9. документы, характеризующие кредитную историю должника за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3 года на дату подачи документов в администрацию </w:t>
      </w:r>
      <w:r w:rsidR="000D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Качульского</w:t>
      </w:r>
      <w:r w:rsidR="0033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32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(описание обязательств должника по действующим кредитным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договорам и (или) договорам займа с указанием остатка задолженности на дату составления кредитной истории) либо свидетельствующие о ее отсутствии.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Основаниями для отказа в проведении реструктуризации задолженности по бюджетным кредитам являются:</w:t>
      </w:r>
    </w:p>
    <w:p w:rsidR="00DD18B2" w:rsidRPr="00DD18B2" w:rsidRDefault="000D1BBA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непредоставление либо предоставление не в полном объеме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указанных в пункте 3.1 настоящих Правил (за исключением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указанного в пункте 3.1.7);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 предоставление неполных и (или) недостоверных сведений;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 не соблюдены способы и основные условия реструктуризации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задолженности, установленные решением о бюджете и настоящими Правилами.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26830448"/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Администрация </w:t>
      </w:r>
      <w:r w:rsidR="000D1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Качульского</w:t>
      </w:r>
      <w:r w:rsidR="0033250C" w:rsidRPr="003325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течении 10 рабочих дней со дня поступления обращения (заявления и прилагаемых к нему документов) о </w:t>
      </w:r>
      <w:r w:rsidR="00CA3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реструктуризации задолженности по бюджетным кредитам рассматривает их и: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3.3.1. отсутствия документа, подтверждающего, что юридическое лицо не находится в процессе реорганизации (за исключением реорганизации в форме присоединения к юридическому лицу другого юридического лица) или </w:t>
      </w:r>
      <w:r w:rsidR="0034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ликвидации, в отношении него не введена процедура банкротства, его </w:t>
      </w:r>
      <w:r w:rsidR="0034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не приостановлена в порядке, предусмотренном законодательством Российской Федерации в порядке межведомственного информационного </w:t>
      </w:r>
      <w:r w:rsidR="0034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в течение 1 дня после поступления зарегистрированного пакета документов, запрашивает данные сведения в государственных органах, в </w:t>
      </w:r>
      <w:r w:rsidR="0034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 которых они находятся;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разрабатывает и предоставляет главе </w:t>
      </w:r>
      <w:r w:rsidR="000D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Качульского</w:t>
      </w:r>
      <w:r w:rsidR="0033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постановления администрации  </w:t>
      </w:r>
      <w:r w:rsidR="000D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Качульского</w:t>
      </w:r>
      <w:r w:rsidR="0033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DD1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реструктуризации </w:t>
      </w:r>
      <w:r w:rsidR="0034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 по бюджетным кредитам с приложением проекта соглашения о </w:t>
      </w:r>
      <w:r w:rsidR="0034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реструктуризации задолженности  по бюджетным кредитам, о чем письменно</w:t>
      </w:r>
      <w:r w:rsidR="0034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юридическое лицо, в случае  отсутствия оснований для отказа в </w:t>
      </w:r>
      <w:r w:rsidR="00340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проведении реструктуризации задолженности, предусмотренных пунктом 3.2 настоящих Правил;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  письменно информирует юридическое лицо о причинах отказа в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реструктуризации задолженности по бюджетным кредитам в случае наличия оснований для отказа в проведении реструктуризации задолженности, предусмотренных пунктом 3.2. настоящих Правил.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 Глава </w:t>
      </w:r>
      <w:r w:rsidR="000D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Качульского</w:t>
      </w:r>
      <w:r w:rsidR="0033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DD1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5 дней рассматривает и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поступивший проект постановления о реструктуризации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задолженности, постановление вступает в силу в день подписания.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 о реструктуризации задолженности по бюджетным кредитам заключается в течение 10 рабочих дней со дня вступления в силу постановления администрации </w:t>
      </w:r>
      <w:r w:rsidR="000D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Качульского</w:t>
      </w:r>
      <w:r w:rsidR="0033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DD1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реструктуризации задолженности по бюджетным кредитам.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 Соглашение о реструктуризации задолженности по бюджетным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кредитам должно предусматривать следующие условия: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  способ реструктуризации (отсрочка или рассрочка, изменение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величины процентов за пользование денежными средствами и (или) иных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платежей);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 размер реструктурированной задолженности;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 срок погашения задолженности, а в случае предоставления рассрочки – график, предусматривающий осуществление платежей;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сроки проведения реструктуризации задолженности;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обязательства сторон;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3.5.6.  санкции за невыполнение условий соглашения;</w:t>
      </w:r>
    </w:p>
    <w:p w:rsidR="00DD18B2" w:rsidRPr="00DD18B2" w:rsidRDefault="000D1BBA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3.5.7. 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должника о ежегодном предоставлении информации о выполнении условий реструктуризации задолженности до полного ее погашения.</w:t>
      </w:r>
    </w:p>
    <w:bookmarkEnd w:id="4"/>
    <w:p w:rsidR="00DD18B2" w:rsidRPr="00DD18B2" w:rsidRDefault="00DD18B2" w:rsidP="0023252F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реструктуризации задолженности в связи с исполнением  муниципальных гарантий.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Для проведения реструктуризации задолженности в связи с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муниципальных гарантий юридическое лицо предоставляет в 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</w:t>
      </w:r>
      <w:r w:rsidR="000D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Качульского</w:t>
      </w:r>
      <w:r w:rsidR="0033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D18B2" w:rsidRPr="00DD18B2" w:rsidRDefault="00DD18B2" w:rsidP="0023252F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заявление, в котором должны быть указаны:</w:t>
      </w:r>
    </w:p>
    <w:p w:rsidR="00DD18B2" w:rsidRPr="00DD18B2" w:rsidRDefault="000D1BBA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4.1.1.1. 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наличие которых препятствует исполнению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 муниципальной гарантии в установленные сроки;</w:t>
      </w:r>
    </w:p>
    <w:p w:rsidR="00DD18B2" w:rsidRPr="00DD18B2" w:rsidRDefault="00D20C38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4.1.1.2.  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размер задолженности, который предполагается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р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еструктуризировать;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4.1.1.3. способ проведения реструктуризации: изменение сроков (в том числе с предоставлением отсрочки или рассрочки), изменение величины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за пользование денежными средствами и (или) иных платежей;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4.1.1.4.  информация об источниках и сроках (графике)  погашения 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реструктуризируемой задолженности по денежным обязательствам.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4.1.2. копию документа подтверждающего полномочия лица, действующего от имени должника (в случае обращения представителя);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4.1.3.  копии учредительных документов со всеми  изменениями и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дополнениями удостоверенные нотариально или руководителем должника;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4.1.4 годовую </w:t>
      </w:r>
      <w:bookmarkStart w:id="5" w:name="_Hlk126829615"/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бухгалтерскую (финансовую) отчетность по формам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бухгалтерского баланса и отчета о финансовых результатах, утвержденных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предложением № 1 к приказу Министерства финансов Российской Федерации от 02.07.2010 №66н «О формах бухгалтерской отчетности организаций» (далее – приказ  Минфина России), за последний отчетный год с отметкой о принятии  налоговым органом по месту постановки на налоговый учет должника, а также информацию о кредиторской задолженности, оформленную с учетом положений раздела 5 приложения № 3 к  приказу Минфина России;</w:t>
      </w:r>
      <w:bookmarkEnd w:id="5"/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4.1.5 промежуточную бухгалтерскую (финансовую) отчетность по формам бухгалтерского баланса и отчета о финансовых результатах, утвержденных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предложением № 1 к приказу Минфина России, за последний отчетный период, а также информацию о дебиторской и кредиторской задолженности, оформленную с учетом положений раздела 5 приложения № 3 к  приказу Минфина России;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4.1.6. расшифровку дебиторской и кредиторской задолженности к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бухгалтерским балансам за отчетный финансовый год, предшествующий году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подачи обращения, и на последнюю отчетную дату с указанием даты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возникновения задолженности и ее статуса (текущая, просроченная);</w:t>
      </w:r>
    </w:p>
    <w:p w:rsidR="00A60EEF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4.1.7. справку кредитных организаций об оборотах по расчетным счетам за последние 12 месяцев, остатках денежных средств на них на дату,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предшествующую дате подачи документов, наличии или отсутствии на каждом счете на дату предоставления справки картотеки неоплаченных расчетных </w:t>
      </w:r>
    </w:p>
    <w:p w:rsidR="00DD18B2" w:rsidRPr="00DD18B2" w:rsidRDefault="00DD18B2" w:rsidP="00A60EE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DD18B2" w:rsidRPr="00DD18B2" w:rsidRDefault="000D1BBA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4.1.8. 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характеризующие кредитную историю должника за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последние 3 года, на дату подачи документов в администрацию </w:t>
      </w:r>
      <w:r w:rsidR="00BC45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Качульского</w:t>
      </w:r>
      <w:r w:rsidR="0033250C" w:rsidRPr="003325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20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</w:t>
      </w:r>
      <w:r w:rsidR="0033250C" w:rsidRPr="003325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сельсовета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(описание обязательств должника по действующим кредитным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договорам и (или) договорам займа с указанием остатка задолженности на дату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 кредитной истории) либо свидетельствующие о ее отсутствии;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4.1.9. документы, подтверждающие, что юридическое лицо не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предусмотренном законодательством Российской Федерации;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Основаниями для отказа в проведении реструктуризации задолженности в связи с исполнением  муниципальных гарантий являются: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непредоставление либо предоставление не в полном объеме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указанных в пункте 4.1 настоящих Правил (за исключением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указанного в подпункте 4.1.9);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  предоставление неполных и (или) недостоверных сведений;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4.2.3. не соблюдены способы и основные условия реструктуризации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задолженности, установленные решением о бюджете и настоящими Правилами.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Администрация </w:t>
      </w:r>
      <w:r w:rsidR="000D1BB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Качульского</w:t>
      </w:r>
      <w:r w:rsidR="0033250C" w:rsidRPr="0033250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сельсовета</w:t>
      </w:r>
      <w:r w:rsidR="003325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10 рабочих дней со дня поступления обращения (заявления и прилагаемых к нему документов) о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реструктуризации задолженности в связи с исполнением муниципальных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 рассматривает их и в случае: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4.3.1. отсутствия документа, подтверждающего, что юридическое лицо не находится в процессе реорганизации (за исключением реорганизации в форме присоединения к юридическому лицу другого юридического лица) или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ликвидации, в отношении него не введена процедура банкротства, его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не приостановлена в порядке, предусмотренном законодательством Российской Федерации в порядке межведомственного информационного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взаимодействия в течение 1 дня после поступления зарегистрированного пакета документов, запрашивает данные сведения в государственных органах, в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распоряжении которых они находятся;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4.3.2. отсутствия оснований для отказа в проведении реструктуризации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задолженности, предусмотренных пунктом 4.2 настоящий Правил, -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предоставляет главе </w:t>
      </w:r>
      <w:r w:rsidR="000D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Качульского</w:t>
      </w:r>
      <w:r w:rsidR="0033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</w:t>
      </w:r>
      <w:r w:rsidR="00D20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администрации </w:t>
      </w:r>
      <w:r w:rsidR="000D1B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Качульского </w:t>
      </w:r>
      <w:r w:rsidR="0033250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33250C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реструктуризации </w:t>
      </w:r>
      <w:r w:rsidR="00C6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задолженности в связи с исполнением муниципальных гарантий, о чем письменно информирует юридическое лицо;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4.3.3.  наличия оснований для отказа в проведении реструктуризации </w:t>
      </w:r>
      <w:r w:rsidR="00C6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задолженности, предусмотренных пунктом 4.2 настоящих Правил, - письменно информирует юридическое лицо о причинах отказа в проведении </w:t>
      </w:r>
      <w:r w:rsidR="00C6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реструктуризации задолженности в связи с исполнением муниципальных </w:t>
      </w:r>
      <w:r w:rsidR="00C6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гарантий;</w:t>
      </w:r>
    </w:p>
    <w:p w:rsidR="00A60EEF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 Глава </w:t>
      </w:r>
      <w:r w:rsidR="000D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Качульского</w:t>
      </w:r>
      <w:r w:rsidR="0033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33250C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течении 5 дней рассматривает и </w:t>
      </w:r>
      <w:r w:rsidR="00C6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6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подписывает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поступивший проект постановления о реструктуризации </w:t>
      </w:r>
      <w:r w:rsidR="00A60E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6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18B2" w:rsidRPr="00DD18B2" w:rsidRDefault="00A60EEF" w:rsidP="00A60EE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долженности, постановление  вступает в силу в день подписания.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о реструктуризации задолженности по бюджетным кредитам заключается в течении 10 рабочих дней со дня вступления в силу  постановления администрации   </w:t>
      </w:r>
      <w:r w:rsidR="000D1B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Качульского</w:t>
      </w:r>
      <w:r w:rsidR="00332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33250C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реструктуризации задолженности в связи с исполнением муниципальных гарантий.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 Соглашение о реструктуризации задолженности в связи с исполнением муниципальных гарантий должно предусматривать следующие условия:</w:t>
      </w:r>
    </w:p>
    <w:p w:rsidR="00A60EEF" w:rsidRDefault="00A60EEF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4.5.1. 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реструктуризации (отсрочка или рассрочка, изменение </w:t>
      </w:r>
      <w:r w:rsidR="00C6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DD18B2" w:rsidRPr="00DD18B2" w:rsidRDefault="00DD18B2" w:rsidP="00A60EEF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величины процентов за пользование денежными средствами и (или) иных </w:t>
      </w:r>
      <w:r w:rsidR="00C63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платежей);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4.5.2.  размер реструктурированной задолженности;</w:t>
      </w:r>
    </w:p>
    <w:p w:rsidR="00DD18B2" w:rsidRPr="00DD18B2" w:rsidRDefault="00702723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4.5.3.</w:t>
      </w:r>
      <w:r w:rsidR="00DD18B2"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погашения задолженности, а в случае предоставления рассрочки – график, предусматривающий осуществление платежей;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4.5.4. сроки проведения реструктуризации задолженности;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4.5.5. обязательства сторон;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4.5.6.  санкции за невыполнение условий соглашения;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8B2">
        <w:rPr>
          <w:rFonts w:ascii="Times New Roman" w:eastAsia="Times New Roman" w:hAnsi="Times New Roman" w:cs="Times New Roman"/>
          <w:sz w:val="28"/>
          <w:szCs w:val="28"/>
          <w:lang w:eastAsia="ru-RU"/>
        </w:rPr>
        <w:t>4.5.7.  обязательство должника о ежегодном предоставлении информации о выполнении условий реструктуризации задолженности до полного ее погашения.</w:t>
      </w: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18B2" w:rsidRPr="00DD18B2" w:rsidRDefault="00DD18B2" w:rsidP="0023252F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45" w:rsidRDefault="00DF6745" w:rsidP="0023252F">
      <w:pPr>
        <w:spacing w:after="0" w:line="240" w:lineRule="auto"/>
        <w:jc w:val="both"/>
      </w:pPr>
    </w:p>
    <w:sectPr w:rsidR="00DF6745" w:rsidSect="00BC45A8">
      <w:pgSz w:w="11906" w:h="16838"/>
      <w:pgMar w:top="1134" w:right="680" w:bottom="1134" w:left="1418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F17" w:rsidRDefault="00D33F17">
      <w:pPr>
        <w:spacing w:after="0" w:line="240" w:lineRule="auto"/>
      </w:pPr>
      <w:r>
        <w:separator/>
      </w:r>
    </w:p>
  </w:endnote>
  <w:endnote w:type="continuationSeparator" w:id="0">
    <w:p w:rsidR="00D33F17" w:rsidRDefault="00D33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F17" w:rsidRDefault="00D33F17">
      <w:pPr>
        <w:spacing w:after="0" w:line="240" w:lineRule="auto"/>
      </w:pPr>
      <w:r>
        <w:separator/>
      </w:r>
    </w:p>
  </w:footnote>
  <w:footnote w:type="continuationSeparator" w:id="0">
    <w:p w:rsidR="00D33F17" w:rsidRDefault="00D33F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45"/>
    <w:rsid w:val="000D1BBA"/>
    <w:rsid w:val="000E43D0"/>
    <w:rsid w:val="001B0FBB"/>
    <w:rsid w:val="00202DD9"/>
    <w:rsid w:val="0020632F"/>
    <w:rsid w:val="0023252F"/>
    <w:rsid w:val="00314984"/>
    <w:rsid w:val="00326C83"/>
    <w:rsid w:val="0033250C"/>
    <w:rsid w:val="00336B4F"/>
    <w:rsid w:val="00340C45"/>
    <w:rsid w:val="003C5EAC"/>
    <w:rsid w:val="00403A47"/>
    <w:rsid w:val="004303F5"/>
    <w:rsid w:val="004B6286"/>
    <w:rsid w:val="004C55D6"/>
    <w:rsid w:val="00520517"/>
    <w:rsid w:val="0055640D"/>
    <w:rsid w:val="00561643"/>
    <w:rsid w:val="00702723"/>
    <w:rsid w:val="00766D6B"/>
    <w:rsid w:val="007824F3"/>
    <w:rsid w:val="007A1CF5"/>
    <w:rsid w:val="007F7055"/>
    <w:rsid w:val="00960CD6"/>
    <w:rsid w:val="00A60EEF"/>
    <w:rsid w:val="00B15C8E"/>
    <w:rsid w:val="00BC45A8"/>
    <w:rsid w:val="00C3635E"/>
    <w:rsid w:val="00C6315A"/>
    <w:rsid w:val="00CA2C1D"/>
    <w:rsid w:val="00CA3500"/>
    <w:rsid w:val="00CC131B"/>
    <w:rsid w:val="00CD7162"/>
    <w:rsid w:val="00D20C38"/>
    <w:rsid w:val="00D33F17"/>
    <w:rsid w:val="00DD18B2"/>
    <w:rsid w:val="00DF6745"/>
    <w:rsid w:val="00E02E7E"/>
    <w:rsid w:val="00E1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C158E-30E8-46F6-928D-456D662B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paragraph" w:styleId="ae">
    <w:name w:val="Balloon Text"/>
    <w:basedOn w:val="a"/>
    <w:link w:val="af"/>
    <w:uiPriority w:val="99"/>
    <w:semiHidden/>
    <w:unhideWhenUsed/>
    <w:rsid w:val="00332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3250C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336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7A841-5EE0-433C-BC8B-EAEC01E1A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2730</Words>
  <Characters>15564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пользователь</cp:lastModifiedBy>
  <cp:revision>29</cp:revision>
  <cp:lastPrinted>2023-07-05T02:58:00Z</cp:lastPrinted>
  <dcterms:created xsi:type="dcterms:W3CDTF">2023-04-19T05:46:00Z</dcterms:created>
  <dcterms:modified xsi:type="dcterms:W3CDTF">2023-07-05T02:59:00Z</dcterms:modified>
  <dc:language>ru-RU</dc:language>
</cp:coreProperties>
</file>